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AF" w:rsidRDefault="001012AF" w:rsidP="001012AF">
      <w:pPr>
        <w:adjustRightInd w:val="0"/>
        <w:snapToGrid w:val="0"/>
        <w:jc w:val="center"/>
        <w:rPr>
          <w:rFonts w:ascii="Times New Roman" w:eastAsia="標楷體" w:hAnsi="Times New Roman" w:hint="eastAsia"/>
          <w:b/>
          <w:color w:val="000000" w:themeColor="text1"/>
          <w:sz w:val="30"/>
          <w:szCs w:val="30"/>
        </w:rPr>
      </w:pPr>
      <w:r w:rsidRPr="001012AF">
        <w:rPr>
          <w:rFonts w:ascii="Times New Roman" w:eastAsia="標楷體" w:hAnsi="Times New Roman" w:hint="eastAsia"/>
          <w:b/>
          <w:color w:val="000000" w:themeColor="text1"/>
          <w:sz w:val="30"/>
          <w:szCs w:val="30"/>
        </w:rPr>
        <w:t>國立</w:t>
      </w:r>
      <w:proofErr w:type="gramStart"/>
      <w:r w:rsidRPr="001012AF">
        <w:rPr>
          <w:rFonts w:ascii="Times New Roman" w:eastAsia="標楷體" w:hAnsi="Times New Roman" w:hint="eastAsia"/>
          <w:b/>
          <w:color w:val="000000" w:themeColor="text1"/>
          <w:sz w:val="30"/>
          <w:szCs w:val="30"/>
        </w:rPr>
        <w:t>臺</w:t>
      </w:r>
      <w:proofErr w:type="gramEnd"/>
      <w:r w:rsidRPr="001012AF">
        <w:rPr>
          <w:rFonts w:ascii="Times New Roman" w:eastAsia="標楷體" w:hAnsi="Times New Roman" w:hint="eastAsia"/>
          <w:b/>
          <w:color w:val="000000" w:themeColor="text1"/>
          <w:sz w:val="30"/>
          <w:szCs w:val="30"/>
        </w:rPr>
        <w:t>東大學通識教育中心英語文競賽實施要點</w:t>
      </w:r>
    </w:p>
    <w:p w:rsidR="00080AA1" w:rsidRPr="00080AA1" w:rsidRDefault="00080AA1" w:rsidP="0031346B">
      <w:pPr>
        <w:adjustRightInd w:val="0"/>
        <w:snapToGrid w:val="0"/>
        <w:spacing w:beforeLines="50" w:before="180"/>
        <w:jc w:val="right"/>
        <w:rPr>
          <w:rFonts w:ascii="Times New Roman" w:eastAsia="標楷體" w:hAnsi="Times New Roman"/>
          <w:color w:val="000000" w:themeColor="text1"/>
          <w:szCs w:val="24"/>
        </w:rPr>
      </w:pPr>
      <w:r w:rsidRPr="00B021F0">
        <w:rPr>
          <w:rFonts w:ascii="Times New Roman" w:eastAsia="標楷體" w:hAnsi="Times New Roman"/>
          <w:sz w:val="16"/>
          <w:szCs w:val="16"/>
        </w:rPr>
        <w:t>10</w:t>
      </w:r>
      <w:r>
        <w:rPr>
          <w:rFonts w:ascii="Times New Roman" w:eastAsia="標楷體" w:hAnsi="Times New Roman" w:hint="eastAsia"/>
          <w:sz w:val="16"/>
          <w:szCs w:val="16"/>
        </w:rPr>
        <w:t>7</w:t>
      </w:r>
      <w:r w:rsidRPr="00B021F0">
        <w:rPr>
          <w:rFonts w:ascii="Times New Roman" w:eastAsia="標楷體" w:hAnsi="Times New Roman"/>
          <w:sz w:val="16"/>
          <w:szCs w:val="16"/>
        </w:rPr>
        <w:t>學年度第</w:t>
      </w:r>
      <w:r>
        <w:rPr>
          <w:rFonts w:ascii="Times New Roman" w:eastAsia="標楷體" w:hAnsi="Times New Roman" w:hint="eastAsia"/>
          <w:sz w:val="16"/>
          <w:szCs w:val="16"/>
        </w:rPr>
        <w:t>1</w:t>
      </w:r>
      <w:r w:rsidRPr="00B021F0">
        <w:rPr>
          <w:rFonts w:ascii="Times New Roman" w:eastAsia="標楷體" w:hAnsi="Times New Roman"/>
          <w:sz w:val="16"/>
          <w:szCs w:val="16"/>
        </w:rPr>
        <w:t>學期第</w:t>
      </w:r>
      <w:r>
        <w:rPr>
          <w:rFonts w:ascii="Times New Roman" w:eastAsia="標楷體" w:hAnsi="Times New Roman" w:hint="eastAsia"/>
          <w:sz w:val="16"/>
          <w:szCs w:val="16"/>
        </w:rPr>
        <w:t>1</w:t>
      </w:r>
      <w:r w:rsidRPr="00B021F0">
        <w:rPr>
          <w:rFonts w:ascii="Times New Roman" w:eastAsia="標楷體" w:hAnsi="Times New Roman"/>
          <w:sz w:val="16"/>
          <w:szCs w:val="16"/>
        </w:rPr>
        <w:t>次通識教育中心</w:t>
      </w:r>
      <w:r w:rsidR="002B2052">
        <w:rPr>
          <w:rFonts w:ascii="Times New Roman" w:eastAsia="標楷體" w:hAnsi="Times New Roman" w:hint="eastAsia"/>
          <w:sz w:val="16"/>
          <w:szCs w:val="16"/>
        </w:rPr>
        <w:t>業務</w:t>
      </w:r>
      <w:r w:rsidRPr="00B021F0">
        <w:rPr>
          <w:rFonts w:ascii="Times New Roman" w:eastAsia="標楷體" w:hAnsi="Times New Roman"/>
          <w:sz w:val="16"/>
          <w:szCs w:val="16"/>
        </w:rPr>
        <w:t>會議通過（</w:t>
      </w:r>
      <w:r w:rsidRPr="00B021F0">
        <w:rPr>
          <w:rFonts w:ascii="Times New Roman" w:eastAsia="標楷體" w:hAnsi="Times New Roman"/>
          <w:sz w:val="16"/>
          <w:szCs w:val="16"/>
        </w:rPr>
        <w:t>10</w:t>
      </w:r>
      <w:r>
        <w:rPr>
          <w:rFonts w:ascii="Times New Roman" w:eastAsia="標楷體" w:hAnsi="Times New Roman" w:hint="eastAsia"/>
          <w:sz w:val="16"/>
          <w:szCs w:val="16"/>
        </w:rPr>
        <w:t>7.10.16</w:t>
      </w:r>
      <w:r w:rsidRPr="00B021F0">
        <w:rPr>
          <w:rFonts w:ascii="Times New Roman" w:eastAsia="標楷體" w:hAnsi="Times New Roman"/>
          <w:sz w:val="16"/>
          <w:szCs w:val="16"/>
        </w:rPr>
        <w:t>）</w:t>
      </w:r>
    </w:p>
    <w:p w:rsidR="00080AA1" w:rsidRDefault="00080AA1" w:rsidP="00080AA1">
      <w:pPr>
        <w:jc w:val="both"/>
        <w:rPr>
          <w:rFonts w:ascii="Times New Roman" w:eastAsia="標楷體" w:hAnsi="Times New Roman"/>
          <w:color w:val="000000" w:themeColor="text1"/>
          <w:szCs w:val="24"/>
        </w:rPr>
      </w:pPr>
    </w:p>
    <w:p w:rsidR="001012AF" w:rsidRPr="00E25405" w:rsidRDefault="00594F6B" w:rsidP="001012AF">
      <w:pPr>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一、</w:t>
      </w:r>
      <w:r w:rsidR="001012AF" w:rsidRPr="00E25405">
        <w:rPr>
          <w:rFonts w:ascii="Times New Roman" w:eastAsia="標楷體" w:hAnsi="Times New Roman"/>
          <w:color w:val="000000" w:themeColor="text1"/>
          <w:szCs w:val="24"/>
        </w:rPr>
        <w:t>國立</w:t>
      </w:r>
      <w:proofErr w:type="gramStart"/>
      <w:r w:rsidR="001012AF" w:rsidRPr="00E25405">
        <w:rPr>
          <w:rFonts w:ascii="Times New Roman" w:eastAsia="標楷體" w:hAnsi="Times New Roman"/>
          <w:color w:val="000000" w:themeColor="text1"/>
          <w:szCs w:val="24"/>
        </w:rPr>
        <w:t>臺</w:t>
      </w:r>
      <w:proofErr w:type="gramEnd"/>
      <w:r w:rsidR="001012AF" w:rsidRPr="00E25405">
        <w:rPr>
          <w:rFonts w:ascii="Times New Roman" w:eastAsia="標楷體" w:hAnsi="Times New Roman"/>
          <w:color w:val="000000" w:themeColor="text1"/>
          <w:szCs w:val="24"/>
        </w:rPr>
        <w:t>東大學（以下簡稱本校）通識教育中心（以下簡稱本中心）為提供本校學生英語學習與體驗機會，藉此激發學生英語學習動機，培養其英語文能力，特訂定</w:t>
      </w:r>
      <w:r w:rsidR="001012AF">
        <w:rPr>
          <w:rFonts w:ascii="Times New Roman" w:eastAsia="標楷體" w:hAnsi="Times New Roman" w:hint="eastAsia"/>
          <w:color w:val="000000" w:themeColor="text1"/>
          <w:szCs w:val="24"/>
        </w:rPr>
        <w:t>「</w:t>
      </w:r>
      <w:r w:rsidR="001012AF" w:rsidRPr="00E25405">
        <w:rPr>
          <w:rFonts w:ascii="Times New Roman" w:eastAsia="標楷體" w:hAnsi="Times New Roman"/>
          <w:color w:val="000000" w:themeColor="text1"/>
          <w:szCs w:val="24"/>
        </w:rPr>
        <w:t>國立</w:t>
      </w:r>
      <w:proofErr w:type="gramStart"/>
      <w:r w:rsidR="001012AF" w:rsidRPr="00E25405">
        <w:rPr>
          <w:rFonts w:ascii="Times New Roman" w:eastAsia="標楷體" w:hAnsi="Times New Roman"/>
          <w:color w:val="000000" w:themeColor="text1"/>
          <w:szCs w:val="24"/>
        </w:rPr>
        <w:t>臺</w:t>
      </w:r>
      <w:proofErr w:type="gramEnd"/>
      <w:r w:rsidR="001012AF" w:rsidRPr="00E25405">
        <w:rPr>
          <w:rFonts w:ascii="Times New Roman" w:eastAsia="標楷體" w:hAnsi="Times New Roman"/>
          <w:color w:val="000000" w:themeColor="text1"/>
          <w:szCs w:val="24"/>
        </w:rPr>
        <w:t>東大學通識教育中心英語文競賽實施要點</w:t>
      </w:r>
      <w:r w:rsidR="001012AF">
        <w:rPr>
          <w:rFonts w:ascii="Times New Roman" w:eastAsia="標楷體" w:hAnsi="Times New Roman" w:hint="eastAsia"/>
          <w:color w:val="000000" w:themeColor="text1"/>
          <w:szCs w:val="24"/>
        </w:rPr>
        <w:t>」</w:t>
      </w:r>
      <w:r w:rsidR="001012AF" w:rsidRPr="00E25405">
        <w:rPr>
          <w:rFonts w:ascii="Times New Roman" w:eastAsia="標楷體" w:hAnsi="Times New Roman"/>
          <w:color w:val="000000" w:themeColor="text1"/>
          <w:szCs w:val="24"/>
        </w:rPr>
        <w:t>（以下簡稱本要點）。</w:t>
      </w:r>
    </w:p>
    <w:p w:rsidR="001012AF" w:rsidRPr="00E25405" w:rsidRDefault="00594F6B" w:rsidP="001012AF">
      <w:pPr>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二、</w:t>
      </w:r>
      <w:r w:rsidR="001012AF" w:rsidRPr="00E25405">
        <w:rPr>
          <w:rFonts w:ascii="Times New Roman" w:eastAsia="標楷體" w:hAnsi="Times New Roman"/>
          <w:color w:val="000000" w:themeColor="text1"/>
          <w:szCs w:val="24"/>
        </w:rPr>
        <w:t>競賽形式：英語朗讀、英語演講、英語說故事、英語歌唱、英語話劇、英文影片、英文寫作</w:t>
      </w:r>
      <w:r>
        <w:rPr>
          <w:rFonts w:ascii="Times New Roman" w:eastAsia="標楷體" w:hAnsi="Times New Roman" w:hint="eastAsia"/>
          <w:color w:val="000000" w:themeColor="text1"/>
          <w:szCs w:val="24"/>
        </w:rPr>
        <w:t>…</w:t>
      </w:r>
      <w:proofErr w:type="gramStart"/>
      <w:r>
        <w:rPr>
          <w:rFonts w:ascii="Times New Roman" w:eastAsia="標楷體" w:hAnsi="Times New Roman" w:hint="eastAsia"/>
          <w:color w:val="000000" w:themeColor="text1"/>
          <w:szCs w:val="24"/>
        </w:rPr>
        <w:t>…</w:t>
      </w:r>
      <w:proofErr w:type="gramEnd"/>
      <w:r w:rsidR="001012AF" w:rsidRPr="00E25405">
        <w:rPr>
          <w:rFonts w:ascii="Times New Roman" w:eastAsia="標楷體" w:hAnsi="Times New Roman"/>
          <w:color w:val="000000" w:themeColor="text1"/>
          <w:szCs w:val="24"/>
        </w:rPr>
        <w:t>等。</w:t>
      </w:r>
    </w:p>
    <w:p w:rsidR="001012AF" w:rsidRPr="00E25405" w:rsidRDefault="00594F6B" w:rsidP="001012AF">
      <w:pPr>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三</w:t>
      </w:r>
      <w:r>
        <w:rPr>
          <w:rFonts w:ascii="Times New Roman" w:eastAsia="標楷體" w:hAnsi="Times New Roman" w:hint="eastAsia"/>
          <w:color w:val="000000" w:themeColor="text1"/>
          <w:szCs w:val="24"/>
        </w:rPr>
        <w:t>、</w:t>
      </w:r>
      <w:r w:rsidR="001012AF" w:rsidRPr="00E25405">
        <w:rPr>
          <w:rFonts w:ascii="Times New Roman" w:eastAsia="標楷體" w:hAnsi="Times New Roman"/>
          <w:color w:val="000000" w:themeColor="text1"/>
          <w:szCs w:val="24"/>
        </w:rPr>
        <w:t>參加對象：</w:t>
      </w:r>
    </w:p>
    <w:p w:rsidR="001012AF" w:rsidRPr="00594F6B" w:rsidRDefault="00E94BC0" w:rsidP="00594F6B">
      <w:pPr>
        <w:ind w:leftChars="200" w:left="1200" w:hangingChars="300" w:hanging="720"/>
        <w:jc w:val="both"/>
        <w:rPr>
          <w:rFonts w:ascii="Times New Roman" w:eastAsia="標楷體" w:hAnsi="Times New Roman"/>
          <w:color w:val="000000" w:themeColor="text1"/>
          <w:szCs w:val="24"/>
        </w:rPr>
      </w:pPr>
      <w:r w:rsidRPr="00E25405">
        <w:rPr>
          <w:rFonts w:ascii="Times New Roman" w:eastAsia="標楷體" w:hAnsi="Times New Roman"/>
          <w:color w:val="000000" w:themeColor="text1"/>
          <w:szCs w:val="24"/>
        </w:rPr>
        <w:t>（一）</w:t>
      </w:r>
      <w:r w:rsidR="001012AF" w:rsidRPr="00594F6B">
        <w:rPr>
          <w:rFonts w:ascii="Times New Roman" w:eastAsia="標楷體" w:hAnsi="Times New Roman"/>
          <w:color w:val="000000" w:themeColor="text1"/>
          <w:szCs w:val="24"/>
        </w:rPr>
        <w:t>凡具有本校在學的學生身份且年滿</w:t>
      </w:r>
      <w:r w:rsidR="001012AF" w:rsidRPr="00594F6B">
        <w:rPr>
          <w:rFonts w:ascii="Times New Roman" w:eastAsia="標楷體" w:hAnsi="Times New Roman"/>
          <w:color w:val="000000" w:themeColor="text1"/>
          <w:szCs w:val="24"/>
        </w:rPr>
        <w:t>18</w:t>
      </w:r>
      <w:r w:rsidR="001012AF" w:rsidRPr="00594F6B">
        <w:rPr>
          <w:rFonts w:ascii="Times New Roman" w:eastAsia="標楷體" w:hAnsi="Times New Roman"/>
          <w:color w:val="000000" w:themeColor="text1"/>
          <w:szCs w:val="24"/>
        </w:rPr>
        <w:t>歲皆可參加。</w:t>
      </w:r>
    </w:p>
    <w:p w:rsidR="00E94BC0" w:rsidRDefault="00E94BC0" w:rsidP="00E94BC0">
      <w:pPr>
        <w:ind w:leftChars="200" w:left="1200" w:hangingChars="300" w:hanging="720"/>
        <w:jc w:val="both"/>
        <w:rPr>
          <w:rFonts w:ascii="Times New Roman" w:eastAsia="標楷體" w:hAnsi="Times New Roman" w:hint="eastAsia"/>
          <w:color w:val="000000" w:themeColor="text1"/>
          <w:szCs w:val="24"/>
        </w:rPr>
      </w:pPr>
      <w:r w:rsidRPr="00E25405">
        <w:rPr>
          <w:rFonts w:ascii="Times New Roman" w:eastAsia="標楷體" w:hAnsi="Times New Roman"/>
          <w:color w:val="000000" w:themeColor="text1"/>
          <w:szCs w:val="24"/>
        </w:rPr>
        <w:t>（</w:t>
      </w:r>
      <w:r>
        <w:rPr>
          <w:rFonts w:ascii="Times New Roman" w:eastAsia="標楷體" w:hAnsi="Times New Roman" w:hint="eastAsia"/>
          <w:color w:val="000000" w:themeColor="text1"/>
          <w:szCs w:val="24"/>
        </w:rPr>
        <w:t>二</w:t>
      </w:r>
      <w:r w:rsidRPr="00E25405">
        <w:rPr>
          <w:rFonts w:ascii="Times New Roman" w:eastAsia="標楷體" w:hAnsi="Times New Roman"/>
          <w:color w:val="000000" w:themeColor="text1"/>
          <w:szCs w:val="24"/>
        </w:rPr>
        <w:t>）</w:t>
      </w:r>
      <w:r w:rsidR="001012AF" w:rsidRPr="00594F6B">
        <w:rPr>
          <w:rFonts w:ascii="Times New Roman" w:eastAsia="標楷體" w:hAnsi="Times New Roman"/>
          <w:color w:val="000000" w:themeColor="text1"/>
          <w:szCs w:val="24"/>
        </w:rPr>
        <w:t>依據競賽形式，參賽者得分為基礎級與非基礎級兩組。</w:t>
      </w:r>
    </w:p>
    <w:p w:rsidR="00E94BC0" w:rsidRDefault="00E94BC0" w:rsidP="00E94BC0">
      <w:pPr>
        <w:ind w:leftChars="499" w:left="1383" w:hangingChars="77" w:hanging="185"/>
        <w:jc w:val="both"/>
        <w:rPr>
          <w:rFonts w:eastAsia="標楷體" w:hint="eastAsia"/>
          <w:color w:val="000000" w:themeColor="text1"/>
          <w:szCs w:val="24"/>
        </w:rPr>
      </w:pPr>
      <w:r>
        <w:rPr>
          <w:rFonts w:ascii="Times New Roman" w:eastAsia="標楷體" w:hAnsi="Times New Roman" w:hint="eastAsia"/>
          <w:color w:val="000000" w:themeColor="text1"/>
          <w:szCs w:val="24"/>
        </w:rPr>
        <w:t>1.</w:t>
      </w:r>
      <w:r w:rsidR="001012AF" w:rsidRPr="00E25405">
        <w:rPr>
          <w:rFonts w:eastAsia="標楷體"/>
          <w:color w:val="000000" w:themeColor="text1"/>
          <w:szCs w:val="24"/>
        </w:rPr>
        <w:t>基礎級組：大</w:t>
      </w:r>
      <w:proofErr w:type="gramStart"/>
      <w:r w:rsidR="001012AF" w:rsidRPr="00E25405">
        <w:rPr>
          <w:rFonts w:eastAsia="標楷體"/>
          <w:color w:val="000000" w:themeColor="text1"/>
          <w:szCs w:val="24"/>
        </w:rPr>
        <w:t>一</w:t>
      </w:r>
      <w:proofErr w:type="gramEnd"/>
      <w:r w:rsidR="001012AF" w:rsidRPr="00E25405">
        <w:rPr>
          <w:rFonts w:eastAsia="標楷體"/>
          <w:color w:val="000000" w:themeColor="text1"/>
          <w:szCs w:val="24"/>
        </w:rPr>
        <w:t>學生以現行分班之級別為原則，大二（含）以上學生，其離比賽日期最近一</w:t>
      </w:r>
      <w:bookmarkStart w:id="0" w:name="_GoBack"/>
      <w:bookmarkEnd w:id="0"/>
      <w:r w:rsidR="001012AF" w:rsidRPr="00E25405">
        <w:rPr>
          <w:rFonts w:eastAsia="標楷體"/>
          <w:color w:val="000000" w:themeColor="text1"/>
          <w:szCs w:val="24"/>
        </w:rPr>
        <w:t>次之英文會考成績在</w:t>
      </w:r>
      <w:proofErr w:type="gramStart"/>
      <w:r w:rsidR="001012AF" w:rsidRPr="00E25405">
        <w:rPr>
          <w:rFonts w:eastAsia="標楷體"/>
          <w:color w:val="000000" w:themeColor="text1"/>
          <w:szCs w:val="24"/>
        </w:rPr>
        <w:t>校定</w:t>
      </w:r>
      <w:proofErr w:type="gramEnd"/>
      <w:r w:rsidR="001012AF" w:rsidRPr="00E25405">
        <w:rPr>
          <w:rFonts w:eastAsia="標楷體"/>
          <w:color w:val="000000" w:themeColor="text1"/>
          <w:szCs w:val="24"/>
        </w:rPr>
        <w:t>畢業門檻以下，得報名基礎級組。</w:t>
      </w:r>
    </w:p>
    <w:p w:rsidR="001012AF" w:rsidRPr="00E25405" w:rsidRDefault="00E94BC0" w:rsidP="00E94BC0">
      <w:pPr>
        <w:ind w:leftChars="499" w:left="1383" w:hangingChars="77" w:hanging="185"/>
        <w:jc w:val="both"/>
        <w:rPr>
          <w:rFonts w:eastAsia="標楷體"/>
          <w:color w:val="000000" w:themeColor="text1"/>
          <w:szCs w:val="24"/>
        </w:rPr>
      </w:pPr>
      <w:r>
        <w:rPr>
          <w:rFonts w:eastAsia="標楷體" w:hint="eastAsia"/>
          <w:color w:val="000000" w:themeColor="text1"/>
          <w:szCs w:val="24"/>
        </w:rPr>
        <w:t>2.</w:t>
      </w:r>
      <w:r w:rsidR="001012AF" w:rsidRPr="00E25405">
        <w:rPr>
          <w:rFonts w:eastAsia="標楷體"/>
          <w:color w:val="000000" w:themeColor="text1"/>
          <w:szCs w:val="24"/>
        </w:rPr>
        <w:t>非基礎級組：大</w:t>
      </w:r>
      <w:proofErr w:type="gramStart"/>
      <w:r w:rsidR="001012AF" w:rsidRPr="00E25405">
        <w:rPr>
          <w:rFonts w:eastAsia="標楷體"/>
          <w:color w:val="000000" w:themeColor="text1"/>
          <w:szCs w:val="24"/>
        </w:rPr>
        <w:t>一</w:t>
      </w:r>
      <w:proofErr w:type="gramEnd"/>
      <w:r w:rsidR="001012AF" w:rsidRPr="00E25405">
        <w:rPr>
          <w:rFonts w:eastAsia="標楷體"/>
          <w:color w:val="000000" w:themeColor="text1"/>
          <w:szCs w:val="24"/>
        </w:rPr>
        <w:t>學生以現行分班之級別為原則，大二（含）以上學生，其離比賽日期最近一次英文會考成績在</w:t>
      </w:r>
      <w:proofErr w:type="gramStart"/>
      <w:r w:rsidR="001012AF" w:rsidRPr="00E25405">
        <w:rPr>
          <w:rFonts w:eastAsia="標楷體"/>
          <w:color w:val="000000" w:themeColor="text1"/>
          <w:szCs w:val="24"/>
        </w:rPr>
        <w:t>校定</w:t>
      </w:r>
      <w:proofErr w:type="gramEnd"/>
      <w:r w:rsidR="001012AF" w:rsidRPr="00E25405">
        <w:rPr>
          <w:rFonts w:eastAsia="標楷體"/>
          <w:color w:val="000000" w:themeColor="text1"/>
          <w:szCs w:val="24"/>
        </w:rPr>
        <w:t>畢業門檻以上，需報名非基礎級組。無法提供英文會考成績者，一律報名非基礎級。</w:t>
      </w:r>
    </w:p>
    <w:p w:rsidR="001012AF" w:rsidRPr="001012AF" w:rsidRDefault="00594F6B" w:rsidP="001012AF">
      <w:pPr>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四</w:t>
      </w:r>
      <w:r>
        <w:rPr>
          <w:rFonts w:ascii="Times New Roman" w:eastAsia="標楷體" w:hAnsi="Times New Roman" w:hint="eastAsia"/>
          <w:color w:val="000000" w:themeColor="text1"/>
          <w:szCs w:val="24"/>
        </w:rPr>
        <w:t>、</w:t>
      </w:r>
      <w:r w:rsidR="001012AF" w:rsidRPr="001012AF">
        <w:rPr>
          <w:rFonts w:ascii="Times New Roman" w:eastAsia="標楷體" w:hAnsi="Times New Roman"/>
          <w:color w:val="000000" w:themeColor="text1"/>
          <w:szCs w:val="24"/>
        </w:rPr>
        <w:t>評審：聘請相關專家負責評審工作，每組聘請數名評審。</w:t>
      </w:r>
    </w:p>
    <w:p w:rsidR="001012AF" w:rsidRPr="001012AF" w:rsidRDefault="00594F6B" w:rsidP="001012AF">
      <w:pPr>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五</w:t>
      </w:r>
      <w:r>
        <w:rPr>
          <w:rFonts w:ascii="Times New Roman" w:eastAsia="標楷體" w:hAnsi="Times New Roman" w:hint="eastAsia"/>
          <w:color w:val="000000" w:themeColor="text1"/>
          <w:szCs w:val="24"/>
        </w:rPr>
        <w:t>、</w:t>
      </w:r>
      <w:r w:rsidR="001012AF" w:rsidRPr="001012AF">
        <w:rPr>
          <w:rFonts w:ascii="Times New Roman" w:eastAsia="標楷體" w:hAnsi="Times New Roman"/>
          <w:color w:val="000000" w:themeColor="text1"/>
          <w:szCs w:val="24"/>
        </w:rPr>
        <w:t>比賽辦法：由本中心英文群召集人邀請校內相關師資成立籌備小組，根據競賽形式開會討論實施細則並公告之。</w:t>
      </w:r>
    </w:p>
    <w:p w:rsidR="001012AF" w:rsidRPr="001012AF" w:rsidRDefault="00594F6B" w:rsidP="001012AF">
      <w:pPr>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六</w:t>
      </w:r>
      <w:r>
        <w:rPr>
          <w:rFonts w:ascii="Times New Roman" w:eastAsia="標楷體" w:hAnsi="Times New Roman" w:hint="eastAsia"/>
          <w:color w:val="000000" w:themeColor="text1"/>
          <w:szCs w:val="24"/>
        </w:rPr>
        <w:t>、</w:t>
      </w:r>
      <w:r w:rsidR="001012AF" w:rsidRPr="001012AF">
        <w:rPr>
          <w:rFonts w:ascii="Times New Roman" w:eastAsia="標楷體" w:hAnsi="Times New Roman"/>
          <w:color w:val="000000" w:themeColor="text1"/>
          <w:szCs w:val="24"/>
        </w:rPr>
        <w:t>日程：每學年辦理一次，比賽公告時間需在比賽日期前至少六</w:t>
      </w:r>
      <w:proofErr w:type="gramStart"/>
      <w:r w:rsidR="001012AF" w:rsidRPr="001012AF">
        <w:rPr>
          <w:rFonts w:ascii="Times New Roman" w:eastAsia="標楷體" w:hAnsi="Times New Roman"/>
          <w:color w:val="000000" w:themeColor="text1"/>
          <w:szCs w:val="24"/>
        </w:rPr>
        <w:t>週</w:t>
      </w:r>
      <w:proofErr w:type="gramEnd"/>
      <w:r w:rsidR="001012AF" w:rsidRPr="001012AF">
        <w:rPr>
          <w:rFonts w:ascii="Times New Roman" w:eastAsia="標楷體" w:hAnsi="Times New Roman"/>
          <w:color w:val="000000" w:themeColor="text1"/>
          <w:szCs w:val="24"/>
        </w:rPr>
        <w:t>，報名開始時間需在比賽日期前至少四周。</w:t>
      </w:r>
    </w:p>
    <w:p w:rsidR="001012AF" w:rsidRPr="001012AF" w:rsidRDefault="00594F6B" w:rsidP="001012AF">
      <w:pPr>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七</w:t>
      </w:r>
      <w:r>
        <w:rPr>
          <w:rFonts w:ascii="Times New Roman" w:eastAsia="標楷體" w:hAnsi="Times New Roman" w:hint="eastAsia"/>
          <w:color w:val="000000" w:themeColor="text1"/>
          <w:szCs w:val="24"/>
        </w:rPr>
        <w:t>、</w:t>
      </w:r>
      <w:r w:rsidR="001012AF" w:rsidRPr="001012AF">
        <w:rPr>
          <w:rFonts w:ascii="Times New Roman" w:eastAsia="標楷體" w:hAnsi="Times New Roman"/>
          <w:color w:val="000000" w:themeColor="text1"/>
          <w:szCs w:val="24"/>
        </w:rPr>
        <w:t>獎勵辦法：</w:t>
      </w:r>
    </w:p>
    <w:p w:rsidR="001012AF" w:rsidRPr="00E94BC0" w:rsidRDefault="00E94BC0" w:rsidP="00E94BC0">
      <w:pPr>
        <w:ind w:leftChars="200" w:left="1200" w:hangingChars="300" w:hanging="720"/>
        <w:jc w:val="both"/>
        <w:rPr>
          <w:rFonts w:ascii="Times New Roman" w:eastAsia="標楷體" w:hAnsi="Times New Roman"/>
          <w:color w:val="000000" w:themeColor="text1"/>
          <w:szCs w:val="24"/>
        </w:rPr>
      </w:pPr>
      <w:r w:rsidRPr="00E25405">
        <w:rPr>
          <w:rFonts w:ascii="Times New Roman" w:eastAsia="標楷體" w:hAnsi="Times New Roman"/>
          <w:color w:val="000000" w:themeColor="text1"/>
          <w:szCs w:val="24"/>
        </w:rPr>
        <w:t>（一）</w:t>
      </w:r>
      <w:r w:rsidR="001012AF" w:rsidRPr="00E94BC0">
        <w:rPr>
          <w:rFonts w:ascii="Times New Roman" w:eastAsia="標楷體" w:hAnsi="Times New Roman"/>
          <w:color w:val="000000" w:themeColor="text1"/>
          <w:szCs w:val="24"/>
        </w:rPr>
        <w:t>比賽獎勵</w:t>
      </w:r>
    </w:p>
    <w:p w:rsidR="001012AF" w:rsidRPr="00E94BC0" w:rsidRDefault="0031346B" w:rsidP="00E94BC0">
      <w:pPr>
        <w:ind w:leftChars="499" w:left="1383" w:hangingChars="77" w:hanging="185"/>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r w:rsidR="001012AF" w:rsidRPr="00E94BC0">
        <w:rPr>
          <w:rFonts w:ascii="Times New Roman" w:eastAsia="標楷體" w:hAnsi="Times New Roman"/>
          <w:color w:val="000000" w:themeColor="text1"/>
          <w:szCs w:val="24"/>
        </w:rPr>
        <w:t>參賽學生：完成參賽學生，由本中心發放參賽證明乙份。</w:t>
      </w:r>
    </w:p>
    <w:p w:rsidR="001012AF" w:rsidRPr="00E94BC0" w:rsidRDefault="0031346B" w:rsidP="00E94BC0">
      <w:pPr>
        <w:ind w:leftChars="499" w:left="1383" w:hangingChars="77" w:hanging="185"/>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r w:rsidR="001012AF" w:rsidRPr="00E94BC0">
        <w:rPr>
          <w:rFonts w:ascii="Times New Roman" w:eastAsia="標楷體" w:hAnsi="Times New Roman"/>
          <w:color w:val="000000" w:themeColor="text1"/>
          <w:szCs w:val="24"/>
        </w:rPr>
        <w:t>獲獎學生：評審選出優秀學生並頒發獎狀與獎金。各組獎項、獎金與名額由</w:t>
      </w:r>
      <w:r w:rsidR="001012AF" w:rsidRPr="00E94BC0">
        <w:rPr>
          <w:rFonts w:ascii="Times New Roman" w:eastAsia="標楷體" w:hAnsi="Times New Roman" w:hint="eastAsia"/>
          <w:color w:val="000000" w:themeColor="text1"/>
          <w:szCs w:val="24"/>
        </w:rPr>
        <w:t>該學年度籌備小組開</w:t>
      </w:r>
      <w:r w:rsidR="001012AF" w:rsidRPr="00E94BC0">
        <w:rPr>
          <w:rFonts w:ascii="Times New Roman" w:eastAsia="標楷體" w:hAnsi="Times New Roman"/>
          <w:color w:val="000000" w:themeColor="text1"/>
          <w:szCs w:val="24"/>
        </w:rPr>
        <w:t>會決定，惟基礎級組與非基礎級組均保留至少三分之一得獎名額給非英美系參賽學生。</w:t>
      </w:r>
    </w:p>
    <w:p w:rsidR="001012AF" w:rsidRPr="00E94BC0" w:rsidRDefault="00E94BC0" w:rsidP="00E94BC0">
      <w:pPr>
        <w:ind w:leftChars="200" w:left="1200" w:hangingChars="300" w:hanging="720"/>
        <w:jc w:val="both"/>
        <w:rPr>
          <w:rFonts w:ascii="Times New Roman" w:eastAsia="標楷體" w:hAnsi="Times New Roman"/>
          <w:color w:val="000000" w:themeColor="text1"/>
          <w:szCs w:val="24"/>
        </w:rPr>
      </w:pPr>
      <w:r w:rsidRPr="00E25405">
        <w:rPr>
          <w:rFonts w:ascii="Times New Roman" w:eastAsia="標楷體" w:hAnsi="Times New Roman"/>
          <w:color w:val="000000" w:themeColor="text1"/>
          <w:szCs w:val="24"/>
        </w:rPr>
        <w:t>（</w:t>
      </w:r>
      <w:r w:rsidRPr="00E94BC0">
        <w:rPr>
          <w:rFonts w:ascii="Times New Roman" w:eastAsia="標楷體" w:hAnsi="Times New Roman" w:hint="eastAsia"/>
          <w:color w:val="000000" w:themeColor="text1"/>
          <w:szCs w:val="24"/>
        </w:rPr>
        <w:t>二</w:t>
      </w:r>
      <w:r w:rsidRPr="00E25405">
        <w:rPr>
          <w:rFonts w:ascii="Times New Roman" w:eastAsia="標楷體" w:hAnsi="Times New Roman"/>
          <w:color w:val="000000" w:themeColor="text1"/>
          <w:szCs w:val="24"/>
        </w:rPr>
        <w:t>）</w:t>
      </w:r>
      <w:r w:rsidR="001012AF" w:rsidRPr="00E94BC0">
        <w:rPr>
          <w:rFonts w:ascii="Times New Roman" w:eastAsia="標楷體" w:hAnsi="Times New Roman"/>
          <w:color w:val="000000" w:themeColor="text1"/>
          <w:szCs w:val="24"/>
        </w:rPr>
        <w:t>行政獎勵</w:t>
      </w:r>
    </w:p>
    <w:p w:rsidR="001012AF" w:rsidRPr="00E94BC0" w:rsidRDefault="0031346B" w:rsidP="00E94BC0">
      <w:pPr>
        <w:ind w:leftChars="499" w:left="1383" w:hangingChars="77" w:hanging="185"/>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r w:rsidR="001012AF" w:rsidRPr="00E94BC0">
        <w:rPr>
          <w:rFonts w:ascii="Times New Roman" w:eastAsia="標楷體" w:hAnsi="Times New Roman"/>
          <w:color w:val="000000" w:themeColor="text1"/>
          <w:szCs w:val="24"/>
        </w:rPr>
        <w:t>評審：校內評審由主辦單位報請敘獎。</w:t>
      </w:r>
    </w:p>
    <w:p w:rsidR="0031346B" w:rsidRDefault="0031346B" w:rsidP="0031346B">
      <w:pPr>
        <w:ind w:leftChars="499" w:left="1383" w:hangingChars="77" w:hanging="185"/>
        <w:jc w:val="both"/>
        <w:rPr>
          <w:rFonts w:ascii="Times New Roman" w:eastAsia="標楷體" w:hAnsi="Times New Roman" w:hint="eastAsia"/>
          <w:color w:val="000000" w:themeColor="text1"/>
          <w:szCs w:val="24"/>
        </w:rPr>
      </w:pPr>
      <w:r>
        <w:rPr>
          <w:rFonts w:ascii="Times New Roman" w:eastAsia="標楷體" w:hAnsi="Times New Roman" w:hint="eastAsia"/>
          <w:color w:val="000000" w:themeColor="text1"/>
          <w:szCs w:val="24"/>
        </w:rPr>
        <w:t>2.</w:t>
      </w:r>
      <w:r w:rsidR="001012AF" w:rsidRPr="00E94BC0">
        <w:rPr>
          <w:rFonts w:ascii="Times New Roman" w:eastAsia="標楷體" w:hAnsi="Times New Roman"/>
          <w:color w:val="000000" w:themeColor="text1"/>
          <w:szCs w:val="24"/>
        </w:rPr>
        <w:t>指導教師</w:t>
      </w:r>
    </w:p>
    <w:p w:rsidR="0031346B" w:rsidRDefault="0031346B" w:rsidP="0031346B">
      <w:pPr>
        <w:ind w:leftChars="576" w:left="1382"/>
        <w:jc w:val="both"/>
        <w:rPr>
          <w:rFonts w:eastAsia="標楷體" w:hint="eastAsia"/>
          <w:color w:val="000000" w:themeColor="text1"/>
          <w:szCs w:val="24"/>
        </w:rPr>
      </w:pPr>
      <w:r>
        <w:rPr>
          <w:rFonts w:ascii="Times New Roman" w:eastAsia="標楷體" w:hAnsi="Times New Roman" w:hint="eastAsia"/>
          <w:color w:val="000000" w:themeColor="text1"/>
          <w:szCs w:val="24"/>
        </w:rPr>
        <w:t>(1)</w:t>
      </w:r>
      <w:r w:rsidR="001012AF" w:rsidRPr="00E25405">
        <w:rPr>
          <w:rFonts w:eastAsia="標楷體"/>
          <w:color w:val="000000" w:themeColor="text1"/>
          <w:szCs w:val="24"/>
        </w:rPr>
        <w:t>凡完成參賽的學生，其指導教師由主辦單位報請敘獎。</w:t>
      </w:r>
    </w:p>
    <w:p w:rsidR="0031346B" w:rsidRDefault="0031346B" w:rsidP="0031346B">
      <w:pPr>
        <w:ind w:leftChars="576" w:left="1382"/>
        <w:jc w:val="both"/>
        <w:rPr>
          <w:rFonts w:eastAsia="標楷體" w:hint="eastAsia"/>
          <w:color w:val="000000" w:themeColor="text1"/>
          <w:szCs w:val="24"/>
        </w:rPr>
      </w:pPr>
      <w:r>
        <w:rPr>
          <w:rFonts w:ascii="Times New Roman" w:eastAsia="標楷體" w:hAnsi="Times New Roman" w:hint="eastAsia"/>
          <w:color w:val="000000" w:themeColor="text1"/>
          <w:szCs w:val="24"/>
        </w:rPr>
        <w:t>(2</w:t>
      </w:r>
      <w:r>
        <w:rPr>
          <w:rFonts w:ascii="Times New Roman" w:eastAsia="標楷體" w:hAnsi="Times New Roman" w:hint="eastAsia"/>
          <w:color w:val="000000" w:themeColor="text1"/>
          <w:szCs w:val="24"/>
        </w:rPr>
        <w:t>)</w:t>
      </w:r>
      <w:r w:rsidR="001012AF" w:rsidRPr="00E25405">
        <w:rPr>
          <w:rFonts w:eastAsia="標楷體"/>
          <w:color w:val="000000" w:themeColor="text1"/>
          <w:szCs w:val="24"/>
        </w:rPr>
        <w:t>獲獎學生之指導教師由主辦單位報請敘獎。</w:t>
      </w:r>
    </w:p>
    <w:p w:rsidR="001012AF" w:rsidRPr="00E25405" w:rsidRDefault="0031346B" w:rsidP="0031346B">
      <w:pPr>
        <w:ind w:leftChars="576" w:left="1622" w:hangingChars="100" w:hanging="240"/>
        <w:jc w:val="both"/>
        <w:rPr>
          <w:rFonts w:eastAsia="標楷體"/>
          <w:color w:val="000000" w:themeColor="text1"/>
          <w:szCs w:val="24"/>
        </w:rPr>
      </w:pPr>
      <w:r>
        <w:rPr>
          <w:rFonts w:ascii="Times New Roman" w:eastAsia="標楷體" w:hAnsi="Times New Roman" w:hint="eastAsia"/>
          <w:color w:val="000000" w:themeColor="text1"/>
          <w:szCs w:val="24"/>
        </w:rPr>
        <w:t>(3</w:t>
      </w:r>
      <w:r>
        <w:rPr>
          <w:rFonts w:ascii="Times New Roman" w:eastAsia="標楷體" w:hAnsi="Times New Roman" w:hint="eastAsia"/>
          <w:color w:val="000000" w:themeColor="text1"/>
          <w:szCs w:val="24"/>
        </w:rPr>
        <w:t>)</w:t>
      </w:r>
      <w:r w:rsidR="001012AF" w:rsidRPr="00E25405">
        <w:rPr>
          <w:rFonts w:eastAsia="標楷體"/>
          <w:color w:val="000000" w:themeColor="text1"/>
          <w:szCs w:val="24"/>
        </w:rPr>
        <w:t>不論獲獎學生人數及參賽</w:t>
      </w:r>
      <w:proofErr w:type="gramStart"/>
      <w:r w:rsidR="001012AF" w:rsidRPr="00E25405">
        <w:rPr>
          <w:rFonts w:eastAsia="標楷體"/>
          <w:color w:val="000000" w:themeColor="text1"/>
          <w:szCs w:val="24"/>
        </w:rPr>
        <w:t>組別數之</w:t>
      </w:r>
      <w:proofErr w:type="gramEnd"/>
      <w:r w:rsidR="001012AF" w:rsidRPr="00E25405">
        <w:rPr>
          <w:rFonts w:eastAsia="標楷體"/>
          <w:color w:val="000000" w:themeColor="text1"/>
          <w:szCs w:val="24"/>
        </w:rPr>
        <w:t>多寡，在不重複敘獎之原則下，擇其</w:t>
      </w:r>
      <w:proofErr w:type="gramStart"/>
      <w:r w:rsidR="001012AF" w:rsidRPr="00E25405">
        <w:rPr>
          <w:rFonts w:eastAsia="標楷體"/>
          <w:color w:val="000000" w:themeColor="text1"/>
          <w:szCs w:val="24"/>
        </w:rPr>
        <w:t>最佳敘</w:t>
      </w:r>
      <w:proofErr w:type="gramEnd"/>
      <w:r w:rsidR="001012AF" w:rsidRPr="00E25405">
        <w:rPr>
          <w:rFonts w:eastAsia="標楷體"/>
          <w:color w:val="000000" w:themeColor="text1"/>
          <w:szCs w:val="24"/>
        </w:rPr>
        <w:t>獎條件報請敘獎。</w:t>
      </w:r>
      <w:r w:rsidR="001012AF" w:rsidRPr="00E25405">
        <w:rPr>
          <w:rFonts w:eastAsia="標楷體"/>
          <w:color w:val="000000" w:themeColor="text1"/>
          <w:szCs w:val="24"/>
        </w:rPr>
        <w:t xml:space="preserve"> </w:t>
      </w:r>
    </w:p>
    <w:p w:rsidR="001012AF" w:rsidRPr="001012AF" w:rsidRDefault="00594F6B" w:rsidP="001012AF">
      <w:pPr>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八</w:t>
      </w:r>
      <w:r>
        <w:rPr>
          <w:rFonts w:ascii="Times New Roman" w:eastAsia="標楷體" w:hAnsi="Times New Roman" w:hint="eastAsia"/>
          <w:color w:val="000000" w:themeColor="text1"/>
          <w:szCs w:val="24"/>
        </w:rPr>
        <w:t>、</w:t>
      </w:r>
      <w:r w:rsidR="001012AF" w:rsidRPr="001012AF">
        <w:rPr>
          <w:rFonts w:ascii="Times New Roman" w:eastAsia="標楷體" w:hAnsi="Times New Roman"/>
          <w:color w:val="000000" w:themeColor="text1"/>
          <w:szCs w:val="24"/>
        </w:rPr>
        <w:t>影音檔案：比賽全程錄影錄音，獲獎</w:t>
      </w:r>
      <w:r w:rsidR="001012AF" w:rsidRPr="001012AF">
        <w:rPr>
          <w:rFonts w:ascii="Times New Roman" w:eastAsia="標楷體" w:hAnsi="Times New Roman" w:hint="eastAsia"/>
          <w:color w:val="000000" w:themeColor="text1"/>
          <w:szCs w:val="24"/>
        </w:rPr>
        <w:t>學生</w:t>
      </w:r>
      <w:r w:rsidR="001012AF" w:rsidRPr="001012AF">
        <w:rPr>
          <w:rFonts w:ascii="Times New Roman" w:eastAsia="標楷體" w:hAnsi="Times New Roman"/>
          <w:color w:val="000000" w:themeColor="text1"/>
          <w:szCs w:val="24"/>
        </w:rPr>
        <w:t>需同意本中心有權放置於所屬計畫或本中心網站上供公開點</w:t>
      </w:r>
      <w:proofErr w:type="gramStart"/>
      <w:r w:rsidR="001012AF" w:rsidRPr="001012AF">
        <w:rPr>
          <w:rFonts w:ascii="Times New Roman" w:eastAsia="標楷體" w:hAnsi="Times New Roman"/>
          <w:color w:val="000000" w:themeColor="text1"/>
          <w:szCs w:val="24"/>
        </w:rPr>
        <w:t>閱</w:t>
      </w:r>
      <w:proofErr w:type="gramEnd"/>
      <w:r w:rsidR="001012AF" w:rsidRPr="001012AF">
        <w:rPr>
          <w:rFonts w:ascii="Times New Roman" w:eastAsia="標楷體" w:hAnsi="Times New Roman"/>
          <w:color w:val="000000" w:themeColor="text1"/>
          <w:szCs w:val="24"/>
        </w:rPr>
        <w:t>。</w:t>
      </w:r>
    </w:p>
    <w:p w:rsidR="001012AF" w:rsidRPr="001012AF" w:rsidRDefault="00594F6B" w:rsidP="001012AF">
      <w:pPr>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九</w:t>
      </w:r>
      <w:r>
        <w:rPr>
          <w:rFonts w:ascii="Times New Roman" w:eastAsia="標楷體" w:hAnsi="Times New Roman" w:hint="eastAsia"/>
          <w:color w:val="000000" w:themeColor="text1"/>
          <w:szCs w:val="24"/>
        </w:rPr>
        <w:t>、</w:t>
      </w:r>
      <w:r w:rsidR="001012AF" w:rsidRPr="001012AF">
        <w:rPr>
          <w:rFonts w:ascii="Times New Roman" w:eastAsia="標楷體" w:hAnsi="Times New Roman"/>
          <w:color w:val="000000" w:themeColor="text1"/>
          <w:szCs w:val="24"/>
        </w:rPr>
        <w:t>經費來源：經費由本中心執行之相關計畫或本中心業務費項下支應。</w:t>
      </w:r>
    </w:p>
    <w:p w:rsidR="00326765" w:rsidRPr="00080AA1" w:rsidRDefault="00594F6B" w:rsidP="0031346B">
      <w:pPr>
        <w:ind w:left="480" w:hangingChars="200" w:hanging="480"/>
        <w:jc w:val="both"/>
      </w:pPr>
      <w:r>
        <w:rPr>
          <w:rFonts w:ascii="Times New Roman" w:eastAsia="標楷體" w:hAnsi="Times New Roman" w:hint="eastAsia"/>
          <w:color w:val="000000" w:themeColor="text1"/>
          <w:szCs w:val="24"/>
        </w:rPr>
        <w:t>十</w:t>
      </w:r>
      <w:r>
        <w:rPr>
          <w:rFonts w:ascii="Times New Roman" w:eastAsia="標楷體" w:hAnsi="Times New Roman" w:hint="eastAsia"/>
          <w:color w:val="000000" w:themeColor="text1"/>
          <w:szCs w:val="24"/>
        </w:rPr>
        <w:t>、</w:t>
      </w:r>
      <w:r w:rsidR="001012AF" w:rsidRPr="001012AF">
        <w:rPr>
          <w:rFonts w:ascii="Times New Roman" w:eastAsia="標楷體" w:hAnsi="Times New Roman"/>
          <w:color w:val="000000" w:themeColor="text1"/>
          <w:szCs w:val="24"/>
        </w:rPr>
        <w:t>本要點經本中心業務會議通過，陳校長核定後實施，修正時亦同。</w:t>
      </w:r>
    </w:p>
    <w:sectPr w:rsidR="00326765" w:rsidRPr="00080AA1" w:rsidSect="0031346B">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97" w:rsidRDefault="00030597" w:rsidP="002B2052">
      <w:r>
        <w:separator/>
      </w:r>
    </w:p>
  </w:endnote>
  <w:endnote w:type="continuationSeparator" w:id="0">
    <w:p w:rsidR="00030597" w:rsidRDefault="00030597" w:rsidP="002B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97" w:rsidRDefault="00030597" w:rsidP="002B2052">
      <w:r>
        <w:separator/>
      </w:r>
    </w:p>
  </w:footnote>
  <w:footnote w:type="continuationSeparator" w:id="0">
    <w:p w:rsidR="00030597" w:rsidRDefault="00030597" w:rsidP="002B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324F5"/>
    <w:multiLevelType w:val="hybridMultilevel"/>
    <w:tmpl w:val="0A62AD62"/>
    <w:lvl w:ilvl="0" w:tplc="FF9EFD68">
      <w:start w:val="1"/>
      <w:numFmt w:val="taiwaneseCountingThousand"/>
      <w:lvlText w:val="%1、"/>
      <w:lvlJc w:val="left"/>
      <w:pPr>
        <w:ind w:left="720" w:hanging="720"/>
      </w:pPr>
      <w:rPr>
        <w:rFonts w:hint="default"/>
      </w:rPr>
    </w:lvl>
    <w:lvl w:ilvl="1" w:tplc="216E028E">
      <w:start w:val="1"/>
      <w:numFmt w:val="taiwaneseCountingThousand"/>
      <w:lvlText w:val="（%2）"/>
      <w:lvlJc w:val="left"/>
      <w:pPr>
        <w:ind w:left="960" w:hanging="480"/>
      </w:pPr>
      <w:rPr>
        <w:rFonts w:hint="eastAsia"/>
        <w:lang w:val="en-US"/>
      </w:rPr>
    </w:lvl>
    <w:lvl w:ilvl="2" w:tplc="3A0687C6">
      <w:start w:val="1"/>
      <w:numFmt w:val="decimal"/>
      <w:lvlText w:val="%3."/>
      <w:lvlJc w:val="left"/>
      <w:pPr>
        <w:ind w:left="1440" w:hanging="480"/>
      </w:pPr>
      <w:rPr>
        <w:rFonts w:hint="eastAsia"/>
        <w:b w:val="0"/>
        <w:i w:val="0"/>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96638BE"/>
    <w:multiLevelType w:val="hybridMultilevel"/>
    <w:tmpl w:val="4544924E"/>
    <w:lvl w:ilvl="0" w:tplc="FF9EFD68">
      <w:start w:val="1"/>
      <w:numFmt w:val="taiwaneseCountingThousand"/>
      <w:lvlText w:val="%1、"/>
      <w:lvlJc w:val="left"/>
      <w:pPr>
        <w:ind w:left="720" w:hanging="720"/>
      </w:pPr>
      <w:rPr>
        <w:rFonts w:hint="default"/>
      </w:rPr>
    </w:lvl>
    <w:lvl w:ilvl="1" w:tplc="216E028E">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F862A2C"/>
    <w:multiLevelType w:val="hybridMultilevel"/>
    <w:tmpl w:val="39409BD0"/>
    <w:lvl w:ilvl="0" w:tplc="99560D8C">
      <w:start w:val="1"/>
      <w:numFmt w:val="decimal"/>
      <w:lvlText w:val="(%1)"/>
      <w:lvlJc w:val="left"/>
      <w:pPr>
        <w:ind w:left="2378" w:hanging="480"/>
      </w:pPr>
      <w:rPr>
        <w:rFonts w:hint="eastAsia"/>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3">
    <w:nsid w:val="7FE36D1B"/>
    <w:multiLevelType w:val="hybridMultilevel"/>
    <w:tmpl w:val="32484D8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A1"/>
    <w:rsid w:val="00030597"/>
    <w:rsid w:val="00047778"/>
    <w:rsid w:val="00080AA1"/>
    <w:rsid w:val="001012AF"/>
    <w:rsid w:val="002B2052"/>
    <w:rsid w:val="0031346B"/>
    <w:rsid w:val="00326765"/>
    <w:rsid w:val="0035082F"/>
    <w:rsid w:val="00594F6B"/>
    <w:rsid w:val="00E94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AA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052"/>
    <w:pPr>
      <w:tabs>
        <w:tab w:val="center" w:pos="4153"/>
        <w:tab w:val="right" w:pos="8306"/>
      </w:tabs>
      <w:snapToGrid w:val="0"/>
    </w:pPr>
    <w:rPr>
      <w:sz w:val="20"/>
      <w:szCs w:val="20"/>
    </w:rPr>
  </w:style>
  <w:style w:type="character" w:customStyle="1" w:styleId="a4">
    <w:name w:val="頁首 字元"/>
    <w:basedOn w:val="a0"/>
    <w:link w:val="a3"/>
    <w:uiPriority w:val="99"/>
    <w:rsid w:val="002B2052"/>
    <w:rPr>
      <w:rFonts w:ascii="Calibri" w:eastAsia="新細明體" w:hAnsi="Calibri" w:cs="Times New Roman"/>
      <w:sz w:val="20"/>
      <w:szCs w:val="20"/>
    </w:rPr>
  </w:style>
  <w:style w:type="paragraph" w:styleId="a5">
    <w:name w:val="footer"/>
    <w:basedOn w:val="a"/>
    <w:link w:val="a6"/>
    <w:uiPriority w:val="99"/>
    <w:unhideWhenUsed/>
    <w:rsid w:val="002B2052"/>
    <w:pPr>
      <w:tabs>
        <w:tab w:val="center" w:pos="4153"/>
        <w:tab w:val="right" w:pos="8306"/>
      </w:tabs>
      <w:snapToGrid w:val="0"/>
    </w:pPr>
    <w:rPr>
      <w:sz w:val="20"/>
      <w:szCs w:val="20"/>
    </w:rPr>
  </w:style>
  <w:style w:type="character" w:customStyle="1" w:styleId="a6">
    <w:name w:val="頁尾 字元"/>
    <w:basedOn w:val="a0"/>
    <w:link w:val="a5"/>
    <w:uiPriority w:val="99"/>
    <w:rsid w:val="002B2052"/>
    <w:rPr>
      <w:rFonts w:ascii="Calibri" w:eastAsia="新細明體" w:hAnsi="Calibri" w:cs="Times New Roman"/>
      <w:sz w:val="20"/>
      <w:szCs w:val="20"/>
    </w:rPr>
  </w:style>
  <w:style w:type="paragraph" w:styleId="a7">
    <w:name w:val="List"/>
    <w:basedOn w:val="a"/>
    <w:semiHidden/>
    <w:rsid w:val="001012AF"/>
    <w:pPr>
      <w:ind w:left="480" w:hanging="48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AA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052"/>
    <w:pPr>
      <w:tabs>
        <w:tab w:val="center" w:pos="4153"/>
        <w:tab w:val="right" w:pos="8306"/>
      </w:tabs>
      <w:snapToGrid w:val="0"/>
    </w:pPr>
    <w:rPr>
      <w:sz w:val="20"/>
      <w:szCs w:val="20"/>
    </w:rPr>
  </w:style>
  <w:style w:type="character" w:customStyle="1" w:styleId="a4">
    <w:name w:val="頁首 字元"/>
    <w:basedOn w:val="a0"/>
    <w:link w:val="a3"/>
    <w:uiPriority w:val="99"/>
    <w:rsid w:val="002B2052"/>
    <w:rPr>
      <w:rFonts w:ascii="Calibri" w:eastAsia="新細明體" w:hAnsi="Calibri" w:cs="Times New Roman"/>
      <w:sz w:val="20"/>
      <w:szCs w:val="20"/>
    </w:rPr>
  </w:style>
  <w:style w:type="paragraph" w:styleId="a5">
    <w:name w:val="footer"/>
    <w:basedOn w:val="a"/>
    <w:link w:val="a6"/>
    <w:uiPriority w:val="99"/>
    <w:unhideWhenUsed/>
    <w:rsid w:val="002B2052"/>
    <w:pPr>
      <w:tabs>
        <w:tab w:val="center" w:pos="4153"/>
        <w:tab w:val="right" w:pos="8306"/>
      </w:tabs>
      <w:snapToGrid w:val="0"/>
    </w:pPr>
    <w:rPr>
      <w:sz w:val="20"/>
      <w:szCs w:val="20"/>
    </w:rPr>
  </w:style>
  <w:style w:type="character" w:customStyle="1" w:styleId="a6">
    <w:name w:val="頁尾 字元"/>
    <w:basedOn w:val="a0"/>
    <w:link w:val="a5"/>
    <w:uiPriority w:val="99"/>
    <w:rsid w:val="002B2052"/>
    <w:rPr>
      <w:rFonts w:ascii="Calibri" w:eastAsia="新細明體" w:hAnsi="Calibri" w:cs="Times New Roman"/>
      <w:sz w:val="20"/>
      <w:szCs w:val="20"/>
    </w:rPr>
  </w:style>
  <w:style w:type="paragraph" w:styleId="a7">
    <w:name w:val="List"/>
    <w:basedOn w:val="a"/>
    <w:semiHidden/>
    <w:rsid w:val="001012AF"/>
    <w:pPr>
      <w:ind w:left="480" w:hanging="48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2019-01-08T01:49:00Z</dcterms:created>
  <dcterms:modified xsi:type="dcterms:W3CDTF">2019-01-08T01:52:00Z</dcterms:modified>
</cp:coreProperties>
</file>